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Инфекционные болезни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Инфекционные болезни | Записей: 1 | Кейс: 2 | Вопросов: 12</w:t>
      </w:r>
    </w:p>
    <w:p>
      <w:r>
        <w:br w:type="page"/>
      </w:r>
    </w:p>
    <w:p>
      <w:pPr>
        <w:pStyle w:val="Heading1"/>
      </w:pPr>
      <w:r>
        <w:t>Инфекционные болезни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21.08 пациентка Т, 19-ти лет, доставлена в инфекционный стационар на 16-й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длительную лихорадку, общее недомогание, слабость, появление припухлости в области шеи.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больше 2-х недель, когда остро с озноба повысилась температура тела до 38,6ºС, появились общее недомогание, головная боль, слабость. На 3-й день появились боли в горле при глотании, преимущественно с левой стороны.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парацетамол, полоскала горло раствором фурациллина, орошала ротоглотку «тантум-верде». Температура тела держалась в пределах 37,4-37,8℃, продолжала беспокоить общая слабость, боли в горле были незначительными, только с левой стороны.</w:t>
      </w:r>
    </w:p>
    <w:p>
      <w:pPr>
        <w:spacing w:after="58"/>
      </w:pPr>
      <w:r>
        <w:rPr>
          <w:b w:val="0"/>
          <w:i w:val="0"/>
        </w:rPr>
        <w:t>* Обратилась в фельдшерский пункт по месту жительства. Диагносцирована лакунарная ангина. Назначен амоксиклав 500 мг*3 раза в сутки, антисептики. Прошла полный курс антибиотикотерапии (7 дней). Боли в горле исчезли, однако стала беспокоить припухлость в левой подчелюстной области, которая стала нарастать. Сохранялся субфебрилитет.</w:t>
      </w:r>
    </w:p>
    <w:p>
      <w:pPr>
        <w:spacing w:after="58"/>
      </w:pPr>
      <w:r>
        <w:rPr>
          <w:b w:val="0"/>
          <w:i w:val="0"/>
        </w:rPr>
        <w:t>* По «03» госпитализирована в инфекционный стационар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Студентка ВУЗа, проживает во время учебы в общежитии.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Перенесенные заболевания: детские инфекции, простудные заболевания</w:t>
      </w:r>
    </w:p>
    <w:p>
      <w:pPr>
        <w:spacing w:after="58"/>
      </w:pPr>
      <w:r>
        <w:rPr>
          <w:b w:val="0"/>
          <w:i w:val="0"/>
        </w:rPr>
        <w:t>* Эпиданамнез: в настоящий момент (в течение 2-х месяцев) проживает в сельской местности у бабушки, в частном деревенском доме, без централизованного водоснабжения. Воду для бытовых нужд получают из скважины, иногда из колодца. Помогает ухаживать за кроликами. Неоднократно купалась в местной реке. Были укусы насекомых, в том числе и клещей. Питается овощами, ягодами с огорода, молочные продукты покупает у местных жителей, употребляет в пищу мясо домашних кроликов.</w:t>
      </w:r>
    </w:p>
    <w:p>
      <w:pPr>
        <w:spacing w:after="58"/>
      </w:pPr>
      <w:r>
        <w:rPr>
          <w:b w:val="0"/>
          <w:i w:val="0"/>
        </w:rPr>
        <w:t>* Прививочный анамнез: Привита по возрасту.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37,4ºС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нормальной окраски, выявляется асимметрия шеи за счет значительного увеличения лимфоузла в левой подчелюстной области.</w:t>
      </w:r>
    </w:p>
    <w:p>
      <w:pPr>
        <w:spacing w:after="58"/>
      </w:pPr>
      <w:r>
        <w:rPr>
          <w:b w:val="0"/>
          <w:i w:val="0"/>
        </w:rPr>
        <w:t>* Рот открывается свободно. Глотание безболезненное. Слизистая ротоглотки нормальной окраски, влажная. Миндалины с обеих сторон гипертрофированы, без признаков острого воспаления, рубцовые изменения на левой миндалине. При осмотре слизистых щек отечности и гиперемии вокруг устья выводного протока нет.</w:t>
      </w:r>
    </w:p>
    <w:p>
      <w:pPr>
        <w:spacing w:after="58"/>
      </w:pPr>
      <w:r>
        <w:rPr>
          <w:b w:val="0"/>
          <w:i w:val="0"/>
        </w:rPr>
        <w:t>* Слева, под нижней челюстью пальпируется конгломерат, размером с грецкий орех, малоболезненный при пальпации, четко отграниченный от подлежащих тканей, кожа над ним несколько гиперемирована, не горячая. Лимфоузлы других групп не увеличены.</w:t>
      </w:r>
    </w:p>
    <w:p>
      <w:r>
        <w:drawing>
          <wp:inline xmlns:a="http://schemas.openxmlformats.org/drawingml/2006/main" xmlns:pic="http://schemas.openxmlformats.org/drawingml/2006/picture">
            <wp:extent cx="5303520" cy="358444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ef52178848a66c16d78ca21a3994a2083b8955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844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* В легких дыхание везикулярное, хрипов нет. ЧДД – 18 в мин.</w:t>
      </w:r>
    </w:p>
    <w:p>
      <w:pPr>
        <w:spacing w:after="58"/>
      </w:pPr>
      <w:r>
        <w:rPr>
          <w:b w:val="0"/>
          <w:i w:val="0"/>
        </w:rPr>
        <w:t>* АД-120/70 мм рт. ст, ЧСС – 76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</w:t>
      </w:r>
    </w:p>
    <w:p>
      <w:pPr>
        <w:spacing w:after="58"/>
      </w:pPr>
      <w:r>
        <w:rPr>
          <w:b w:val="0"/>
          <w:i w:val="0"/>
        </w:rPr>
        <w:t>* Живот мягкий, безболезненный. Стул оформленный.</w:t>
      </w:r>
    </w:p>
    <w:p>
      <w:pPr>
        <w:spacing w:after="58"/>
      </w:pPr>
      <w:r>
        <w:rPr>
          <w:b w:val="0"/>
          <w:i w:val="0"/>
        </w:rPr>
        <w:t>* Мочеиспускание не нарушено. Симптом поколачивания отрицательный с обеих сторон.</w:t>
      </w:r>
    </w:p>
    <w:p>
      <w:pPr>
        <w:spacing w:after="58"/>
      </w:pPr>
      <w:r>
        <w:rPr>
          <w:b w:val="0"/>
          <w:i w:val="0"/>
        </w:rPr>
        <w:t>* В сознании, адекватна. Очаговой и менингеальной симптоматики нет.</w:t>
      </w:r>
    </w:p>
    <w:p>
      <w:pPr>
        <w:spacing w:after="58"/>
      </w:pPr>
      <w:r>
        <w:rPr>
          <w:b w:val="0"/>
          <w:i w:val="0"/>
        </w:rPr>
        <w:t>В приемном покое сделано УЗИ поднижнечелюстной области. Заключение: множественные негомогенные очаги сниженной эхогенности с усилением перфузии, характерные для лимфаденита.</w:t>
      </w:r>
    </w:p>
    <w:p>
      <w:pPr>
        <w:spacing w:after="58"/>
      </w:pPr>
      <w:r>
        <w:rPr>
          <w:b w:val="0"/>
          <w:i w:val="0"/>
        </w:rPr>
        <w:t>Рентгенография ОГК: патологических изменений вне выявлено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реакция агглютинации (РА) на качественное определение антител к Brucella species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реакция пассивной гемагглютинации (РПГА) на полуколичественное определение антител к _Francisella tularensis_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иммуноферментный анализ (ИФА) на определение антител к _Coxiella burnetii_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гетерогемагглютинации Хофф-Бауэра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диаскин-тест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реакция пассивной гемагглютинации (РПГА) на полуколичественное определение антител к _Francisella tularensis_</w:t>
      </w:r>
    </w:p>
    <w:p>
      <w:pPr>
        <w:ind w:left="504"/>
      </w:pPr>
      <w:r>
        <w:rPr>
          <w:b w:val="0"/>
          <w:i/>
        </w:rPr>
        <w:t>Основные серологические методы - РА и РПГА с диагностическим титром 1:100 и выше (стандарт диагностики). Диагностическая ценность РПГА выше, так как антитела в титре 1:100 обнаруживают рано, уже к концу 1-й недели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Диагностика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лабораторного метода обследования</w:t>
      </w:r>
    </w:p>
    <w:p>
      <w:pPr>
        <w:pStyle w:val="Heading3"/>
      </w:pPr>
      <w:r>
        <w:t>3.1. РПГА на полуколичественное определение антител к Francisella tularensis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Anti-Francisella tularensis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≥ 1:100 – условно - диагностический титр у невакцинированных лиц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1:1260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Титры антител к Francisella tularensis в РПГА:</w:t>
      </w:r>
    </w:p>
    <w:p>
      <w:pPr>
        <w:pStyle w:val="Heading3"/>
      </w:pPr>
      <w:r>
        <w:t>3.2. Реакция агглютинации (РА) на качественное определение антител к Brucella species</w:t>
      </w:r>
    </w:p>
    <w:p>
      <w:pPr>
        <w:spacing w:after="58"/>
      </w:pPr>
      <w:r>
        <w:rPr>
          <w:b w:val="0"/>
          <w:i w:val="0"/>
        </w:rPr>
        <w:t>Обнаружение антител к Brucella species в 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Anti-Brucella species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клинико-анамнестические и лабораторные данные,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Бруцеллез, остросептическая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Ку-лихорадка, острая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Туляремия, ангинозногландулярная форма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мононуклеоз, типичная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Туляремия, ангинозногландулярная форма</w:t>
      </w:r>
    </w:p>
    <w:p>
      <w:pPr>
        <w:ind w:left="504"/>
      </w:pPr>
      <w:r>
        <w:rPr>
          <w:b w:val="0"/>
          <w:i/>
        </w:rPr>
        <w:t>Учитывая острое начало с интоксикационного синдрома (озноб, лихорадка, недомогание, слабость), наличие тонзиллита (анамнестически одностороннего с развитием рубцовых изменений), формирование регионального бубона (слабо болезненный, плотно-эластической консистенции, продолжающего увеличиваться в размере после стихания воспаления в ротоглотке), данные эпидемиологического анамнеза (проживание в сельской местности, контакт с сельскохозяйственными животными, употребление продуктов животноводства), данные лабораторного исследование (обнаружение диагностических титров антител к туляремии), можно думать о диагнозе: туляремия, ангинозногландулярная форма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Туляремия, ангинозногландулярная форма</w:t>
      </w:r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периода разгара ангинозногландулярной формы туляремии в общем анализе крови характерен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гипернейтрофилез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лимфомоноцитоз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агранулоцитоз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пойкилоцитоз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лимфомоноцитоз</w:t>
      </w:r>
    </w:p>
    <w:p>
      <w:pPr>
        <w:ind w:left="504"/>
      </w:pPr>
      <w:r>
        <w:rPr>
          <w:b w:val="0"/>
          <w:i/>
        </w:rPr>
        <w:t>Периоду разгара болезни свойственна лейкопения с лимфо или моноцитозом.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Диагностика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Первичный аффект при ангинозногландулярной форме туляремии характеризуется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грануломатозного ринита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некротической ангины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специфического лимфаденита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язвенного изменения кожи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некротической ангины</w:t>
      </w:r>
    </w:p>
    <w:p>
      <w:pPr>
        <w:ind w:left="504"/>
      </w:pPr>
      <w:r>
        <w:rPr>
          <w:b w:val="0"/>
          <w:i/>
        </w:rPr>
        <w:t>В месте входных ворот инфекции происходит размножение возбудителя с развитием некротически-воспалительной реакции и первичного аффекта (кожная язва, проходящая стадии папулы, везикулы и пустулы; на миндалинах - некротическая ангина, в легких - очаговая некротическая пневмония, на конъюнктиве - конъюнктивит)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Патогенез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Тонзиллит при ангинозногландулярной форме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двусторонним поражением с белыми островчатыми налетами, легко отделяемыми шпателем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двусторонним поражением с блестящими серо-белыми «перламутровыми» налетами «плюс ткань», выходящими за пределы миндалин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односторонним поражением с зеленоватыми пастообразными наслоениями с гнилостным запахом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односторонним поражением с серовато-белым островчатым или пленчатым трудноснимаемым налетом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односторонним поражением с серовато-белым островчатым или пленчатым трудноснимаемым налетом</w:t>
      </w:r>
    </w:p>
    <w:p>
      <w:pPr>
        <w:ind w:left="504"/>
      </w:pPr>
      <w:r>
        <w:rPr>
          <w:b w:val="0"/>
          <w:i/>
        </w:rPr>
        <w:t>Специфический тонзиллит характеризуется гиперемией с синюшным оттенком и отечностью миндалины, серовато-белым островчатым или пленчатым налетом. Налеты снимаются с трудом и напоминают дифтерийные, но они не распространяются за пределы миндалин.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Бубон при ангинозногландулярной форме туляремии в периоде его формирования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малоболезненностью при пальпации с обычной окраской кожи над ним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спаянностью с окружающими тканями и геморрагическим пропитыванием кожи над 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резкой болезненностью, малоподвижностью с нечеткими контурами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тестообразной консистенцией и умеренной болезненностью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малоболезненностью при пальпации с обычной окраской кожи над ним</w:t>
      </w:r>
    </w:p>
    <w:p>
      <w:pPr>
        <w:ind w:left="504"/>
      </w:pPr>
      <w:r>
        <w:rPr>
          <w:b w:val="0"/>
          <w:i/>
        </w:rPr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картина.</w:t>
        <w:br/>
        <w:br/>
        <w:t>Одновременно с развитием тонзиллита наблюдают шейный (чаще поднижнечелюстной) лимфаденит со всеми признаками туляремийного бубона (размеры - от грецкого ореха до куриного яйца). Иногда бубон формируется позднее тонзиллита. +</w:t>
        <w:br/>
        <w:t>Размеры бубона могут варьировать от величины лесного ореха до 10 см. Окраска кожи над бубоном сначала не изменена; подвижность ограничена, болезненность выражена слабо.</w:t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Ангинозногландулярную форму туляремии следует дифференцировать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бруцеллеза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инфекционного мононуклеоза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доброкачественного лимфоретикулёза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стрептобациллеза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инфекционного мононуклеоза</w:t>
      </w:r>
    </w:p>
    <w:p>
      <w:pPr>
        <w:ind w:left="504"/>
      </w:pPr>
      <w:r>
        <w:rPr>
          <w:b w:val="0"/>
          <w:i/>
        </w:rPr>
        <w:t>При проведении дифференциальной диагностики необходимо исключить чуму, сибирскую язву, неспецифический лимфаденит, туберкулез, сепсис, малярию, бруцеллез, паротит, доброкачественный лимфоретикулез, ИМ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Дифференциальная диагностика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качестве основной этиотропной терапии при туляремии назначают +_______________+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бензилпенициллин 6 млн ЕД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доксициклин 0,2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меропенем 1,5 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азитромицин 0,5 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доксициклин 0,2 г</w:t>
      </w:r>
    </w:p>
    <w:p>
      <w:pPr>
        <w:ind w:left="504"/>
      </w:pPr>
      <w:r>
        <w:rPr>
          <w:b w:val="0"/>
          <w:i/>
        </w:rPr>
        <w:t>Основные этиотропные препараты - аминогликозиды и тетрациклины (стандарт лечения). +</w:t>
        <w:br/>
        <w:t>Возможен прием внутрь доксициклина в суточной дозе 0,2 г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Лечение</w:t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Длительность курса антибактериальной терапии при туляремии составляет +_____+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14-21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10-14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21-28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10-14</w:t>
      </w:r>
    </w:p>
    <w:p>
      <w:pPr>
        <w:ind w:left="504"/>
      </w:pPr>
      <w:r>
        <w:rPr>
          <w:b w:val="0"/>
          <w:i/>
        </w:rPr>
        <w:t>Длительность курса антибиотикотерапии составляет 10-14 дней (до 5-7-го дня нормальной температуры).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Лечение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 третий день госпитализации кожа над лимфоузлом приобрела багрово-синюшный оттенок, появилась её спаянность с узлом, отмечается флюктуация, сохраняется умеренная болезненность бубона. Учитывая изменения в области бубона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иссечение узла с капсулой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согревающие повязки с димексидом 1:4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местную гипотермию с хлорэтилом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электрофорез с лидазой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иссечение узла с капсулой</w:t>
      </w:r>
    </w:p>
    <w:p>
      <w:pPr>
        <w:ind w:left="504"/>
      </w:pPr>
      <w:r>
        <w:rPr>
          <w:b w:val="0"/>
          <w:i/>
        </w:rPr>
        <w:t>Реже отмечают нагноение (с конца второй - начала третьей недели). При этом кожа над ЛУ краснеет, узел спаивается с кожей и становится более болезненным, появляется флюктуация. В дальнейшем образуется свищ, через который выделяется густой сливкообразный гной. В этом случае заживление или рассасывание бубона происходит очень медленно, волнообразно, часто с рубцеванием и склерозированием ЛУ. В связи с этим при нагноении и четкой флюктуации рекомендуется иссекать узел, это ускоряет заживление. +</w:t>
        <w:br/>
        <w:t>При нагноении бубона, возникновении флюктуации необходимо хирургическое вмешательство: иссечение нагноившегося узла с капсулой.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ангинозногландулярной формы туляремии характерен +______________________+ путь заражения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воздушно-пылевой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контаминационный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инокуляционный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алиментарный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алиментарный</w:t>
      </w:r>
    </w:p>
    <w:p>
      <w:pPr>
        <w:ind w:left="504"/>
      </w:pPr>
      <w:r>
        <w:rPr>
          <w:b w:val="0"/>
          <w:i/>
        </w:rPr>
        <w:t>Ангинозно-бубонная (ангинозногландулярная) форма возникает при заражении алиментарным путем (продуктами или водой, в частности при употреблении недостаточно термически обработанного мяса, чаще зайчатины)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Инкубационный период при туляремии длится до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6-ти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3-х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4-х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5-ти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3-х недель</w:t>
      </w:r>
    </w:p>
    <w:p>
      <w:pPr>
        <w:ind w:left="504"/>
      </w:pPr>
      <w:r>
        <w:rPr>
          <w:b w:val="0"/>
          <w:i/>
        </w:rPr>
        <w:t>Инкубационный период составляет от нескольких часов до 3 нед (в среднем 3-7 дней)</w:t>
        <w:br/>
        <w:br/>
        <w:t>Инфекционные болезни: национальное руководство / под ред. Н.Д. Ющука, Ю.В. Венгерова. - 2-е изд., перераб. и доп. - М.: ГЭОТАР-Медиа, 2018. - 1104 с. - (Серия "Национальные руководства"). - ISBN 978-5-9704-4412-2.</w:t>
        <w:br/>
        <w:br/>
        <w:t>20.11. Туляремия. Клиническая картина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49127/?anchor=paragraph_2l8npn#paragraph_2l8npn" TargetMode="External"/><Relationship Id="rId11" Type="http://schemas.openxmlformats.org/officeDocument/2006/relationships/hyperlink" Target="https://library.mededtech.ru/rest/documents/ISBN9785970449127/?anchor=&#1050;&#1051;&#1048;&#1053;&#1048;&#1063;&#1045;&#1057;&#1050;&#1040;&#1071;_&#1050;&#1040;&#1056;&#1058;&#1048;&#1053;&#1040;_14#&#1050;&#1051;&#1048;&#1053;&#1048;&#1063;&#1045;&#1057;&#1050;&#1040;&#1071;_&#1050;&#1040;&#1056;&#1058;&#1048;&#1053;&#1040;_14" TargetMode="External"/><Relationship Id="rId12" Type="http://schemas.openxmlformats.org/officeDocument/2006/relationships/hyperlink" Target="https://library.mededtech.ru/rest/documents/ISBN9785970449127/?anchor=paragraph_mukcu5#paragraph_mukcu5" TargetMode="External"/><Relationship Id="rId13" Type="http://schemas.openxmlformats.org/officeDocument/2006/relationships/hyperlink" Target="https://library.mededtech.ru/rest/documents/ISBN9785970449127/?anchor=paragraph_21m6e5#paragraph_21m6e5" TargetMode="External"/><Relationship Id="rId14" Type="http://schemas.openxmlformats.org/officeDocument/2006/relationships/hyperlink" Target="https://library.mededtech.ru/rest/documents/ISBN9785970449127/?anchor=paragraph_mv1e1m#paragraph_mv1e1m" TargetMode="External"/><Relationship Id="rId15" Type="http://schemas.openxmlformats.org/officeDocument/2006/relationships/hyperlink" Target="https://library.mededtech.ru/rest/documents/ISBN9785970449127/?anchor=paragraph_ce4vud#paragraph_ce4vud" TargetMode="External"/><Relationship Id="rId16" Type="http://schemas.openxmlformats.org/officeDocument/2006/relationships/hyperlink" Target="https://library.mededtech.ru/rest/documents/ISBN9785970449127/?anchor=paragraph_a8455e#paragraph_a8455e" TargetMode="External"/><Relationship Id="rId17" Type="http://schemas.openxmlformats.org/officeDocument/2006/relationships/hyperlink" Target="https://library.mededtech.ru/rest/documents/ISBN9785970449127/?anchor=paragraph_2qarmo#paragraph_2qarmo" TargetMode="External"/><Relationship Id="rId18" Type="http://schemas.openxmlformats.org/officeDocument/2006/relationships/hyperlink" Target="https://library.mededtech.ru/rest/documents/ISBN9785970449127/?anchor=paragraph_jvoshd#paragraph_jvoshd" TargetMode="External"/><Relationship Id="rId19" Type="http://schemas.openxmlformats.org/officeDocument/2006/relationships/hyperlink" Target="https://library.mededtech.ru/rest/documents/ISBN9785970449127/?anchor=paragraph_uh4tj1#paragraph_uh4tj1" TargetMode="External"/><Relationship Id="rId20" Type="http://schemas.openxmlformats.org/officeDocument/2006/relationships/hyperlink" Target="https://library.mededtech.ru/rest/documents/ISBN9785970449127/?anchor=paragraph_vg4tr6#paragraph_vg4tr6" TargetMode="External"/><Relationship Id="rId21" Type="http://schemas.openxmlformats.org/officeDocument/2006/relationships/hyperlink" Target="https://library.mededtech.ru/rest/documents/ISBN9785970449127/?anchor=paragraph_34vk7j#paragraph_34vk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